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2ad7e0e11497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12786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GLAZBENA ŠKOLA IVANA LUKAČIĆA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948.475,05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1.064.648,99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946.211,25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1.138.224,58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73.575,59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12.826,00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12.618,52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12.826,00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12.618,52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10.562,20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86.194,11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816,1</w:t>
            </w:r>
          </w:p>
        </w:tc>
      </w:tr>
    </w:tbl>
    <w:p>
      <w:pPr>
        <w:spacing w:before="0" w:after="0"/>
      </w:pPr>
    </w:p>
    <w:p>
      <w:r>
        <w:t xml:space="preserve">Prihodi poslovanja su za 12,2% veći nego u istom razdoblju prošle godine zbog povećanja plaće i povećani su prihodi od participacije učenika. Ukupni rashodi poslovanja su za 20,3 % veći u odnosu na prošlu godinu. Trošak plaće i materijalnih prava zaposlenika za 12/2025 i materijalni troškovi za 12/2025 knjiže se u izvještajnom razdoblju te zbog toga nastaje metodološki manjak. Manjak prihoda od nefinancijske imovine odnosi se na nabavku osnovnih sredstava. Manjak prihoda i primitaka znatno je veći u odnosu na izvještajno razdoblje prethodne godine. Razlog tome je ukidanje kontinuiranih rashoda, odnosno priznavanje rashoda u izvještajnom razdoblju na koje se odnosi, neovisno o plaćanju.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54.111,40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65.820,42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121,6</w:t>
            </w:r>
          </w:p>
        </w:tc>
      </w:tr>
    </w:tbl>
    <w:p>
      <w:pPr>
        <w:spacing w:before="0" w:after="0"/>
      </w:pPr>
    </w:p>
    <w:p>
      <w:r>
        <w:t xml:space="preserve">Povećanje indeksa za 21,6% se odnosi na povećanje iznosa participacije.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63,0</w:t>
            </w:r>
          </w:p>
        </w:tc>
      </w:tr>
    </w:tbl>
    <w:p>
      <w:pPr>
        <w:spacing w:before="0" w:after="0"/>
      </w:pPr>
    </w:p>
    <w:p>
      <w:r>
        <w:t xml:space="preserve">Tekuće donacije za odlazak školske klape "Dota" na natjecanje u ovoj godini su manje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817.578,29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1.008.866,78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123,4</w:t>
            </w:r>
          </w:p>
        </w:tc>
      </w:tr>
    </w:tbl>
    <w:p>
      <w:pPr>
        <w:spacing w:before="0" w:after="0"/>
      </w:pPr>
    </w:p>
    <w:p>
      <w:r>
        <w:t xml:space="preserve">Razlog povećanja od 23,4% je povećanje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10.774,38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13.729,73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127,4</w:t>
            </w:r>
          </w:p>
        </w:tc>
      </w:tr>
    </w:tbl>
    <w:p>
      <w:pPr>
        <w:spacing w:before="0" w:after="0"/>
      </w:pPr>
    </w:p>
    <w:p>
      <w:r>
        <w:t xml:space="preserve">Povećanje troškova za službena putovanja za 27,4% rezultat su većeg broja natjecanja učenika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5.021,36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7.976,42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158,8</w:t>
            </w:r>
          </w:p>
        </w:tc>
      </w:tr>
    </w:tbl>
    <w:p>
      <w:pPr>
        <w:spacing w:before="0" w:after="0"/>
      </w:pPr>
    </w:p>
    <w:p>
      <w:r>
        <w:t xml:space="preserve">Indeks od 58,8% pokazuje povećanje troškova za prijevoz učenika na natjecanje.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6.484,06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9.515,86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146,8</w:t>
            </w:r>
          </w:p>
        </w:tc>
      </w:tr>
    </w:tbl>
    <w:p>
      <w:pPr>
        <w:spacing w:before="0" w:after="0"/>
      </w:pPr>
    </w:p>
    <w:p>
      <w:r>
        <w:t xml:space="preserve">Ostali nespomenuti rashodi poslovanja odnose se većinom na troškove kotizacije, prijevoza i smještaja učenika na natjecanjima. U ovom izvještajnom razdoblju su veći za 46,8% jer su učenici sudjelovali na većem broju natjecanja.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ovom izvještajnom razdoblju nismo imali bankarskih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4.147,43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91.757,93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2212,4</w:t>
            </w:r>
          </w:p>
        </w:tc>
      </w:tr>
    </w:tbl>
    <w:p>
      <w:pPr>
        <w:spacing w:before="0" w:after="0"/>
      </w:pPr>
    </w:p>
    <w:p>
      <w:r>
        <w:t xml:space="preserve">Šifra 96 odnosi se najvećim dijelom na plaću za prosinac 2025 koja dospjeva u siječnju 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10.562,20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86.194,11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816,1</w:t>
            </w:r>
          </w:p>
        </w:tc>
      </w:tr>
    </w:tbl>
    <w:p>
      <w:pPr>
        <w:spacing w:before="0" w:after="0"/>
      </w:pPr>
    </w:p>
    <w:p>
      <w:r>
        <w:t xml:space="preserve">Manjak prihoda je metodološki manjak, koji će se pokriti u sljedećem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73.773,20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Kontinuirani rashodi ukinuti su u 2025. godini, te ih više ne knjižimo kao u prethodnom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bolest, invalidnost i smrtni slučaj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2.648,64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600</w:t>
            </w:r>
          </w:p>
        </w:tc>
      </w:tr>
    </w:tbl>
    <w:p>
      <w:pPr>
        <w:spacing w:before="0" w:after="0"/>
      </w:pPr>
    </w:p>
    <w:p>
      <w:r>
        <w:t xml:space="preserve">U ovom izvještajnom razdoblju imali smo znatno više naknada za navedena materijalna prava u odnosu na prethodno razdoblje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Autorski honorari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20.557,88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9.909,44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48,2</w:t>
            </w:r>
          </w:p>
        </w:tc>
      </w:tr>
    </w:tbl>
    <w:p>
      <w:pPr>
        <w:spacing w:before="0" w:after="0"/>
      </w:pPr>
    </w:p>
    <w:p>
      <w:r>
        <w:t xml:space="preserve">U ovoj godini manji je iznos za autorske honorare jer nisu organizirani koncerti za Šibenske glezbene večeri.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10.379,87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101.333,16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976,2</w:t>
            </w:r>
          </w:p>
        </w:tc>
      </w:tr>
    </w:tbl>
    <w:p>
      <w:pPr>
        <w:spacing w:before="0" w:after="0"/>
      </w:pPr>
    </w:p>
    <w:p>
      <w:r>
        <w:t xml:space="preserve">Potraživanja za prihode poslovanja se odnosi na plaću i materijalna prava za prosinac 2025, namjenska sredstva i pomoći koji se prate po obračunskoj osnovi evidentiranjem potraživanja i obračunskih prihoda preko podskupina 16/96.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86.433,37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Objašnjenje šifre 163 je u prethodnoj bilješci pod 16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4.147,43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5.324,56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128,4</w:t>
            </w:r>
          </w:p>
        </w:tc>
      </w:tr>
    </w:tbl>
    <w:p>
      <w:pPr>
        <w:spacing w:before="0" w:after="0"/>
      </w:pPr>
    </w:p>
    <w:p>
      <w:r>
        <w:t xml:space="preserve">Šifra 165 odnosi se na potraživanja za participaciju učenika za koje su izdani izlazni računi.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6.232,44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9.575,23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153,6</w:t>
            </w:r>
          </w:p>
        </w:tc>
      </w:tr>
    </w:tbl>
    <w:p>
      <w:pPr>
        <w:spacing w:before="0" w:after="0"/>
      </w:pPr>
    </w:p>
    <w:p>
      <w:r>
        <w:t xml:space="preserve">Potraživanja se odnose na namjenska sredstva koja moraju biti usklađena s knjiženjem u ŠKŽ.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1.451,05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5.649,31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389,3</w:t>
            </w:r>
          </w:p>
        </w:tc>
      </w:tr>
    </w:tbl>
    <w:p>
      <w:pPr>
        <w:spacing w:before="0" w:after="0"/>
      </w:pPr>
    </w:p>
    <w:p>
      <w:r>
        <w:t xml:space="preserve">Povećanje se odnosi na obveze za mat.rashode za prosinac 2025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5.550,50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-80.643,61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-1452,9</w:t>
            </w:r>
          </w:p>
        </w:tc>
      </w:tr>
    </w:tbl>
    <w:p>
      <w:pPr>
        <w:spacing w:before="0" w:after="0"/>
      </w:pPr>
    </w:p>
    <w:p>
      <w:r>
        <w:t xml:space="preserve">Navedeni manjak je metodološki manjak zbog novog načina knjiženja, te će se pokriti u sljedećem razdoblju.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Obračunate pomoći iz inozemstva i od subjekata unutar općeg proračuna (šifre 9631 do 9638)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86.433,37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963 odnosi se na plaću i materijalna prava za prosinac 2025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4.147,43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5.324,56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128,4</w:t>
            </w:r>
          </w:p>
        </w:tc>
      </w:tr>
    </w:tbl>
    <w:p>
      <w:pPr>
        <w:spacing w:before="0" w:after="0"/>
      </w:pPr>
    </w:p>
    <w:p>
      <w:r>
        <w:t xml:space="preserve">Računi za participaciju učenika dospjeli su 31.12.2025.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6.232,44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96.008,60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1540,5</w:t>
            </w:r>
          </w:p>
        </w:tc>
      </w:tr>
    </w:tbl>
    <w:p>
      <w:pPr>
        <w:spacing w:before="0" w:after="0"/>
      </w:pPr>
    </w:p>
    <w:p>
      <w:r>
        <w:t xml:space="preserve">Potraživanja za plaću i materijalna prava za prosinac 2025 i namjenska sredstva su nedospjela.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Srednjoškolsko obrazovanje (šifre 0921+0922)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959.037,25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1.150.843,10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120,0</w:t>
            </w:r>
          </w:p>
        </w:tc>
      </w:tr>
    </w:tbl>
    <w:p>
      <w:pPr>
        <w:spacing w:before="0" w:after="0"/>
      </w:pPr>
    </w:p>
    <w:p>
      <w:r>
        <w:t xml:space="preserve">Iznos ukupnih rashoda prema funkcijskoj klasifikaciji veći je za 20%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27.156,43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na kontu 9151 se odnosi na ispravak vrijednosti proizvedene i neproizvedene dugotrajne imovine i novo je knjiženje u 2025.g. propisano čl.121 novog Pravilnika.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škola nema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89.527,49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se odnosi na plaću i materijalna prava za 12/2025 i račune za 12/2025.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80819f08794d87" /></Relationships>
</file>